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1A6E" w14:textId="101A5492" w:rsidR="00A25B8B" w:rsidRPr="00D002C5" w:rsidRDefault="00364473" w:rsidP="00364473">
      <w:pPr>
        <w:spacing w:after="0" w:line="720" w:lineRule="atLeast"/>
        <w:jc w:val="center"/>
        <w:outlineLvl w:val="0"/>
        <w:rPr>
          <w:rFonts w:ascii="Sego" w:eastAsia="Times New Roman" w:hAnsi="Sego" w:cs="Times New Roman"/>
          <w:b/>
          <w:bCs/>
          <w:color w:val="E53118"/>
          <w:kern w:val="36"/>
          <w:sz w:val="60"/>
          <w:szCs w:val="60"/>
          <w:lang w:eastAsia="fr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359F28" wp14:editId="32C4BE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3480" cy="754380"/>
            <wp:effectExtent l="0" t="0" r="7620" b="7620"/>
            <wp:wrapThrough wrapText="bothSides">
              <wp:wrapPolygon edited="0">
                <wp:start x="0" y="0"/>
                <wp:lineTo x="0" y="21273"/>
                <wp:lineTo x="21390" y="21273"/>
                <wp:lineTo x="21390" y="0"/>
                <wp:lineTo x="0" y="0"/>
              </wp:wrapPolygon>
            </wp:wrapThrough>
            <wp:docPr id="1" name="Image 1" descr="ABR/B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/B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25B683" w14:textId="028FEB33" w:rsidR="00A25B8B" w:rsidRPr="00D002C5" w:rsidRDefault="00A25B8B" w:rsidP="00481ADD">
      <w:pPr>
        <w:spacing w:after="0" w:line="720" w:lineRule="atLeast"/>
        <w:outlineLvl w:val="0"/>
        <w:rPr>
          <w:rFonts w:ascii="Sego" w:eastAsia="Times New Roman" w:hAnsi="Sego" w:cs="Times New Roman"/>
          <w:b/>
          <w:bCs/>
          <w:color w:val="E53118"/>
          <w:kern w:val="36"/>
          <w:sz w:val="60"/>
          <w:szCs w:val="60"/>
          <w:lang w:eastAsia="fr-BE"/>
        </w:rPr>
      </w:pPr>
    </w:p>
    <w:p w14:paraId="434164CD" w14:textId="77777777" w:rsidR="00481ADD" w:rsidRPr="00D002C5" w:rsidRDefault="00481ADD" w:rsidP="00481ADD">
      <w:pPr>
        <w:spacing w:after="0" w:line="240" w:lineRule="auto"/>
        <w:outlineLvl w:val="0"/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</w:pPr>
    </w:p>
    <w:p w14:paraId="663EAE16" w14:textId="6225EF98" w:rsidR="00A25B8B" w:rsidRPr="00D002C5" w:rsidRDefault="00A23E25" w:rsidP="00481ADD">
      <w:pPr>
        <w:spacing w:after="0" w:line="240" w:lineRule="auto"/>
        <w:outlineLvl w:val="0"/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</w:pPr>
      <w:proofErr w:type="spellStart"/>
      <w:r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Persbericht</w:t>
      </w:r>
      <w:proofErr w:type="spellEnd"/>
    </w:p>
    <w:p w14:paraId="4AC89D35" w14:textId="466934F1" w:rsidR="00A25B8B" w:rsidRPr="00D002C5" w:rsidRDefault="00A23E25" w:rsidP="00481ADD">
      <w:pPr>
        <w:spacing w:after="0" w:line="240" w:lineRule="auto"/>
        <w:outlineLvl w:val="0"/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</w:pPr>
      <w:r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15</w:t>
      </w:r>
      <w:r w:rsidR="005063E1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="005063E1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d</w:t>
      </w:r>
      <w:r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e</w:t>
      </w:r>
      <w:r w:rsidR="005063E1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cembe</w:t>
      </w:r>
      <w:r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r</w:t>
      </w:r>
      <w:proofErr w:type="spellEnd"/>
      <w:r w:rsidR="005063E1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2021</w:t>
      </w:r>
    </w:p>
    <w:p w14:paraId="6B2A978A" w14:textId="77777777" w:rsidR="00481ADD" w:rsidRPr="00D002C5" w:rsidRDefault="00481ADD" w:rsidP="00481ADD">
      <w:pPr>
        <w:spacing w:after="0" w:line="240" w:lineRule="auto"/>
        <w:outlineLvl w:val="0"/>
        <w:rPr>
          <w:rFonts w:ascii="Sego" w:eastAsia="Times New Roman" w:hAnsi="Sego" w:cs="Times New Roman"/>
          <w:b/>
          <w:bCs/>
          <w:color w:val="E53118"/>
          <w:kern w:val="36"/>
          <w:sz w:val="60"/>
          <w:szCs w:val="60"/>
          <w:lang w:eastAsia="fr-BE"/>
        </w:rPr>
      </w:pPr>
    </w:p>
    <w:p w14:paraId="47050660" w14:textId="76B25F74" w:rsidR="0037395C" w:rsidRPr="00D002C5" w:rsidRDefault="007B0B90" w:rsidP="0037395C">
      <w:pPr>
        <w:spacing w:after="0" w:line="480" w:lineRule="atLeast"/>
        <w:jc w:val="center"/>
        <w:outlineLvl w:val="1"/>
        <w:rPr>
          <w:rFonts w:ascii="Sego" w:eastAsia="Times New Roman" w:hAnsi="Sego" w:cs="Times New Roman"/>
          <w:color w:val="333333"/>
          <w:sz w:val="24"/>
          <w:szCs w:val="24"/>
          <w:lang w:eastAsia="fr-BE"/>
        </w:rPr>
      </w:pPr>
      <w:proofErr w:type="spellStart"/>
      <w:r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Gaat</w:t>
      </w:r>
      <w:proofErr w:type="spellEnd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 xml:space="preserve"> de </w:t>
      </w:r>
      <w:proofErr w:type="spellStart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crisis</w:t>
      </w:r>
      <w:proofErr w:type="spellEnd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 xml:space="preserve"> </w:t>
      </w:r>
      <w:proofErr w:type="spellStart"/>
      <w:proofErr w:type="gramStart"/>
      <w:r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verder</w:t>
      </w:r>
      <w:proofErr w:type="spellEnd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?</w:t>
      </w:r>
      <w:proofErr w:type="gramEnd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Bescherm</w:t>
      </w:r>
      <w:proofErr w:type="spellEnd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uw</w:t>
      </w:r>
      <w:proofErr w:type="spellEnd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bedrijf</w:t>
      </w:r>
      <w:proofErr w:type="spellEnd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 xml:space="preserve"> met </w:t>
      </w:r>
      <w:proofErr w:type="spellStart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minnelijke</w:t>
      </w:r>
      <w:proofErr w:type="spellEnd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 xml:space="preserve"> </w:t>
      </w:r>
      <w:proofErr w:type="spellStart"/>
      <w:proofErr w:type="gramStart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incasso</w:t>
      </w:r>
      <w:proofErr w:type="spellEnd"/>
      <w:r w:rsidRPr="007B0B90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!</w:t>
      </w:r>
      <w:proofErr w:type="gramEnd"/>
    </w:p>
    <w:p w14:paraId="2DF4B893" w14:textId="29899AB6" w:rsidR="007B0B90" w:rsidRDefault="007B0B90" w:rsidP="007B0B90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De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Belgische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Vereniging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Incassobureaus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(ABR-BVI), die de 12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belangrijkste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incassobureaus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van het land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groepeert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,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herinnert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ons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eraan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dat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het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belangrijk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onbetaalde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schulden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niet te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laten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aanslepen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en de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voorkeur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te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geven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aan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minnelijke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schikking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.</w:t>
      </w:r>
    </w:p>
    <w:p w14:paraId="70F40000" w14:textId="77777777" w:rsidR="007B0B90" w:rsidRDefault="007B0B90" w:rsidP="007B0B90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</w:p>
    <w:p w14:paraId="721FCFD6" w14:textId="77777777" w:rsidR="007B0B90" w:rsidRPr="007B0B90" w:rsidRDefault="007B0B90" w:rsidP="007B0B90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laatste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5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jaar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werden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in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België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jaarlijks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tussen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8.000 en 12.000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faillissementen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geregistreerd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gram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( )</w:t>
      </w:r>
      <w:proofErr w:type="gram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.  Niet-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betaling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facturen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door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klanten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meest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voorkomende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risicofactoren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die het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bestaan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onderneming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bedreigen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30% van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faillissementen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er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sprake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cashflow-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problemen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 Het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najagen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onbetaalde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facturen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vervelende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vaak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emotioneel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moeilijke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administratieve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taak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,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maar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zij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essentieel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belang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om het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cashflowplan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banen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veilig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te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stellen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</w:p>
    <w:p w14:paraId="49752D58" w14:textId="77777777" w:rsidR="007B0B90" w:rsidRPr="007B0B90" w:rsidRDefault="007B0B90" w:rsidP="007B0B90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</w:p>
    <w:p w14:paraId="2F595253" w14:textId="77777777" w:rsidR="007B0B90" w:rsidRPr="007B0B90" w:rsidRDefault="007B0B90" w:rsidP="007B0B90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In het veld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zien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we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dat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veel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bedrijven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incassoprocedure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hebben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opgezet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, en in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geval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probleem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hulpeloos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staan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Andere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hebben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processen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die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veel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te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traag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zijn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Maar er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eenvoudige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doeltreffende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proofErr w:type="gram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oplossing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:</w:t>
      </w:r>
      <w:proofErr w:type="gram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besteed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uw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schuldbeheer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uit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aan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incassoprofessionals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.</w:t>
      </w:r>
    </w:p>
    <w:p w14:paraId="10B80D53" w14:textId="77777777" w:rsidR="007B0B90" w:rsidRPr="007B0B90" w:rsidRDefault="007B0B90" w:rsidP="007B0B90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2020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kregen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de 12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leden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Belgische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Vereniging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Incassobedrijven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(ABR-BVI) 1,2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miljoen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nieuwe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onbetaalde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schulden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toevertrouwd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haalden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meer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dan 300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miljoen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euro op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voor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rekening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Belgische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bedrijven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</w:p>
    <w:p w14:paraId="7FE3F474" w14:textId="77777777" w:rsidR="007B0B90" w:rsidRPr="007B0B90" w:rsidRDefault="007B0B90" w:rsidP="007B0B90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</w:p>
    <w:p w14:paraId="6725F508" w14:textId="77777777" w:rsidR="007B0B90" w:rsidRPr="007B0B90" w:rsidRDefault="007B0B90" w:rsidP="007B0B90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Martine T'Jampens,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voorzitter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Raad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Bestuur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de ABR-</w:t>
      </w:r>
      <w:proofErr w:type="gram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BVI:</w:t>
      </w:r>
      <w:proofErr w:type="gram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"De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dramatische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overstromingen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dit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jaar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kwamen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bovenop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extreem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lange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coronaviruscrisis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Voor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veel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bedrijven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het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potentiële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extra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verzwakking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hun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kasstroom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Zoals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we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weten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, kan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wanbetaling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snel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cascade-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effect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hebben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andere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economische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actoren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in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keten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beïnvloeden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Daarom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roepen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wij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bedrijven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op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waakzaam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te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zijn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beroep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te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doen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op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professionele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incassobureaus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indien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zij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niet over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tijd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of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middelen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beschikken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om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ander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serieus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aan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te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pakken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 Onze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vereniging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, die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belangrijkste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Belgische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incassobureaus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verenigt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,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pleit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voor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minnelijke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lastRenderedPageBreak/>
        <w:t>invordering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Door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persoonlijk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contact op te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nemen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met het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bedrijf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of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persoon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die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zijn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rekening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niet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betaalt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het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probleem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te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begrijpen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, kan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bijna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altijd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oplossing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worden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gevonden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met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haalbaar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betalingsplan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voor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beide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partijen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Dit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snelste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,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goedkoopste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meest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humane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oplossing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in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vergelijking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met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gang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naar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rechter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.</w:t>
      </w:r>
    </w:p>
    <w:p w14:paraId="36362D84" w14:textId="77777777" w:rsidR="007B0B90" w:rsidRPr="007B0B90" w:rsidRDefault="007B0B90" w:rsidP="007B0B90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</w:p>
    <w:p w14:paraId="577CF339" w14:textId="77777777" w:rsidR="007B0B90" w:rsidRPr="007B0B90" w:rsidRDefault="007B0B90" w:rsidP="007B0B90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Minnelijke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invordering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het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verkrijgen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betaling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debiteur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zonder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naar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rechter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te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stappen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Het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werkt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in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meer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dan 95% van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gevallen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Minnelijke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incasso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helpt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dus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ook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om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rechtbanken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te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ontlasten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Dankzij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de ABR-BVI kan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justitie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meer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miljoen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zaken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per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jaar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voorkomen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leden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vereniging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behandelen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zowel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commerciële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als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persoonlijke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consumentenschulden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.</w:t>
      </w:r>
    </w:p>
    <w:p w14:paraId="6F8BBC7A" w14:textId="77777777" w:rsidR="007B0B90" w:rsidRPr="007B0B90" w:rsidRDefault="007B0B90" w:rsidP="007B0B90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</w:p>
    <w:p w14:paraId="5380D41A" w14:textId="5ECA8E4D" w:rsidR="00B53836" w:rsidRDefault="007B0B90" w:rsidP="007B0B90">
      <w:pPr>
        <w:spacing w:after="0" w:line="390" w:lineRule="atLeast"/>
        <w:rPr>
          <w:rFonts w:ascii="Seaford" w:eastAsia="Times New Roman" w:hAnsi="Seaford" w:cs="Times New Roman"/>
          <w:sz w:val="24"/>
          <w:szCs w:val="24"/>
          <w:lang w:eastAsia="fr-BE"/>
        </w:rPr>
      </w:pPr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Er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zij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aan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herinnerd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dat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het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beroep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gereglementeerd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gecontroleerd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wordt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door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inspectiedienst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Economie van de FOD. Dit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garandeert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crediteuren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debiteuren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ethische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professionele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activiteit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.</w:t>
      </w:r>
    </w:p>
    <w:p w14:paraId="72D70739" w14:textId="5C3E0CE0" w:rsidR="000B4452" w:rsidRDefault="00B53836" w:rsidP="007B0B90">
      <w:pPr>
        <w:spacing w:after="0" w:line="390" w:lineRule="atLeast"/>
        <w:rPr>
          <w:rFonts w:ascii="Seaford" w:eastAsia="Times New Roman" w:hAnsi="Seaford" w:cs="Times New Roman"/>
          <w:sz w:val="24"/>
          <w:szCs w:val="24"/>
          <w:lang w:eastAsia="fr-BE"/>
        </w:rPr>
      </w:pPr>
      <w:r>
        <w:rPr>
          <w:rFonts w:ascii="Seaford" w:eastAsia="Times New Roman" w:hAnsi="Seaford" w:cs="Times New Roman"/>
          <w:sz w:val="24"/>
          <w:szCs w:val="24"/>
          <w:lang w:eastAsia="fr-BE"/>
        </w:rPr>
        <w:t>***</w:t>
      </w:r>
    </w:p>
    <w:p w14:paraId="4AA47068" w14:textId="77777777" w:rsidR="00B53836" w:rsidRPr="00EF2E25" w:rsidRDefault="00B53836" w:rsidP="000B34FD">
      <w:pPr>
        <w:spacing w:after="0" w:line="390" w:lineRule="atLeast"/>
        <w:rPr>
          <w:rFonts w:ascii="Seaford" w:eastAsia="Times New Roman" w:hAnsi="Seaford" w:cs="Times New Roman"/>
          <w:sz w:val="24"/>
          <w:szCs w:val="24"/>
          <w:lang w:eastAsia="fr-BE"/>
        </w:rPr>
      </w:pPr>
    </w:p>
    <w:p w14:paraId="47BDC5FB" w14:textId="68476637" w:rsidR="000B4452" w:rsidRPr="00EF2E25" w:rsidRDefault="007B0B90" w:rsidP="000B34FD">
      <w:pPr>
        <w:spacing w:after="0" w:line="390" w:lineRule="atLeast"/>
        <w:rPr>
          <w:rFonts w:ascii="Seaford" w:eastAsia="Times New Roman" w:hAnsi="Seaford" w:cs="Times New Roman"/>
          <w:b/>
          <w:bCs/>
          <w:sz w:val="24"/>
          <w:szCs w:val="24"/>
          <w:lang w:eastAsia="fr-BE"/>
        </w:rPr>
      </w:pPr>
      <w:proofErr w:type="spellStart"/>
      <w:r>
        <w:rPr>
          <w:rFonts w:ascii="Seaford" w:eastAsia="Times New Roman" w:hAnsi="Seaford" w:cs="Times New Roman"/>
          <w:b/>
          <w:bCs/>
          <w:sz w:val="24"/>
          <w:szCs w:val="24"/>
          <w:lang w:eastAsia="fr-BE"/>
        </w:rPr>
        <w:t>Perscontact</w:t>
      </w:r>
      <w:proofErr w:type="spellEnd"/>
    </w:p>
    <w:p w14:paraId="2E7BE754" w14:textId="77777777" w:rsidR="00227DFD" w:rsidRDefault="00227DFD" w:rsidP="0025427D">
      <w:pPr>
        <w:spacing w:after="0"/>
        <w:rPr>
          <w:rFonts w:ascii="Seaford" w:hAnsi="Seaford"/>
          <w:b/>
          <w:bCs/>
        </w:rPr>
      </w:pPr>
    </w:p>
    <w:p w14:paraId="3970A100" w14:textId="7A11D84D" w:rsidR="0025427D" w:rsidRPr="00CC5148" w:rsidRDefault="005F4727" w:rsidP="0025427D">
      <w:pPr>
        <w:spacing w:after="0"/>
        <w:rPr>
          <w:rFonts w:ascii="Seaford" w:hAnsi="Seaford"/>
        </w:rPr>
      </w:pPr>
      <w:r>
        <w:rPr>
          <w:rFonts w:ascii="Seaford" w:hAnsi="Seaford"/>
        </w:rPr>
        <w:t>press@abrbvi.be</w:t>
      </w:r>
      <w:r w:rsidR="0025427D" w:rsidRPr="00CC5148">
        <w:rPr>
          <w:rFonts w:ascii="Seaford" w:hAnsi="Seaford"/>
        </w:rPr>
        <w:tab/>
      </w:r>
      <w:r w:rsidR="0025427D" w:rsidRPr="00CC5148">
        <w:rPr>
          <w:rFonts w:ascii="Seaford" w:hAnsi="Seaford"/>
        </w:rPr>
        <w:tab/>
      </w:r>
      <w:r w:rsidR="0025427D" w:rsidRPr="00CC5148">
        <w:rPr>
          <w:rFonts w:ascii="Seaford" w:hAnsi="Seaford"/>
        </w:rPr>
        <w:tab/>
      </w:r>
      <w:r w:rsidR="0025427D" w:rsidRPr="00CC5148">
        <w:rPr>
          <w:rFonts w:ascii="Seaford" w:hAnsi="Seaford"/>
        </w:rPr>
        <w:tab/>
      </w:r>
      <w:r w:rsidR="0025427D" w:rsidRPr="00CC5148">
        <w:rPr>
          <w:rFonts w:ascii="Seaford" w:hAnsi="Seaford"/>
        </w:rPr>
        <w:tab/>
      </w:r>
    </w:p>
    <w:p w14:paraId="30DD5797" w14:textId="44788C91" w:rsidR="0025427D" w:rsidRPr="00CC5148" w:rsidRDefault="0025427D" w:rsidP="0025427D">
      <w:pPr>
        <w:spacing w:after="0"/>
        <w:rPr>
          <w:rFonts w:ascii="Seaford" w:hAnsi="Seaford"/>
        </w:rPr>
      </w:pPr>
    </w:p>
    <w:p w14:paraId="2D1CD038" w14:textId="77777777" w:rsidR="006533A9" w:rsidRPr="00CC5148" w:rsidRDefault="006533A9" w:rsidP="0025427D">
      <w:pPr>
        <w:spacing w:after="0"/>
        <w:rPr>
          <w:rFonts w:ascii="Seaford" w:hAnsi="Seaford"/>
        </w:rPr>
      </w:pPr>
    </w:p>
    <w:p w14:paraId="7B2F34D5" w14:textId="77777777" w:rsidR="007B0B90" w:rsidRPr="007B0B90" w:rsidRDefault="007B0B90" w:rsidP="007B0B90">
      <w:pPr>
        <w:spacing w:after="0"/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</w:pPr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Over de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Belgische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Vereniging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Incassobedrijven</w:t>
      </w:r>
      <w:proofErr w:type="spellEnd"/>
      <w:r w:rsidRPr="007B0B90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(ABR-BVI)</w:t>
      </w:r>
    </w:p>
    <w:p w14:paraId="5D0ABC9F" w14:textId="77777777" w:rsidR="007B0B90" w:rsidRPr="007B0B90" w:rsidRDefault="007B0B90" w:rsidP="007B0B90">
      <w:pPr>
        <w:spacing w:after="0"/>
        <w:rPr>
          <w:rFonts w:ascii="Sego" w:eastAsia="Times New Roman" w:hAnsi="Sego" w:cs="Times New Roman"/>
          <w:sz w:val="24"/>
          <w:szCs w:val="24"/>
          <w:lang w:eastAsia="fr-BE"/>
        </w:rPr>
      </w:pPr>
    </w:p>
    <w:p w14:paraId="7FF319AB" w14:textId="77777777" w:rsidR="007B0B90" w:rsidRPr="007B0B90" w:rsidRDefault="007B0B90" w:rsidP="007B0B90">
      <w:pPr>
        <w:spacing w:after="0"/>
        <w:rPr>
          <w:rFonts w:ascii="Sego" w:eastAsia="Times New Roman" w:hAnsi="Sego" w:cs="Times New Roman"/>
          <w:sz w:val="24"/>
          <w:szCs w:val="24"/>
          <w:lang w:eastAsia="fr-BE"/>
        </w:rPr>
      </w:pPr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Belgische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Vereniging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Incassobedrijven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(ABR-BVI)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enige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nationale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beroepsvereniging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op dit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gebied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Het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verenigt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belangrijkste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incassobureaus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die in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België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actief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zijn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. Alle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leden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voldoen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aan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strenge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eisen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op het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gebied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structuur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,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liquiditeit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solvabiliteit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, en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houden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zich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aan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ethische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gedragscode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de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vereniging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.</w:t>
      </w:r>
    </w:p>
    <w:p w14:paraId="2C2CA344" w14:textId="77777777" w:rsidR="007B0B90" w:rsidRPr="007B0B90" w:rsidRDefault="007B0B90" w:rsidP="007B0B90">
      <w:pPr>
        <w:spacing w:after="0"/>
        <w:rPr>
          <w:rFonts w:ascii="Sego" w:eastAsia="Times New Roman" w:hAnsi="Sego" w:cs="Times New Roman"/>
          <w:sz w:val="24"/>
          <w:szCs w:val="24"/>
          <w:lang w:eastAsia="fr-BE"/>
        </w:rPr>
      </w:pPr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De ABR-BVI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is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lid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van de FENCA (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Federation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of </w:t>
      </w:r>
      <w:proofErr w:type="spellStart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European</w:t>
      </w:r>
      <w:proofErr w:type="spellEnd"/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 xml:space="preserve"> National Collection Associations).</w:t>
      </w:r>
    </w:p>
    <w:p w14:paraId="69CF6D4D" w14:textId="47804224" w:rsidR="005E665F" w:rsidRPr="007B0B90" w:rsidRDefault="007B0B90" w:rsidP="007B0B90">
      <w:pPr>
        <w:spacing w:after="0"/>
        <w:rPr>
          <w:rFonts w:ascii="Sego" w:eastAsia="Times New Roman" w:hAnsi="Sego" w:cs="Times New Roman"/>
          <w:sz w:val="24"/>
          <w:szCs w:val="24"/>
          <w:lang w:eastAsia="fr-BE"/>
        </w:rPr>
      </w:pPr>
      <w:r w:rsidRPr="007B0B90">
        <w:rPr>
          <w:rFonts w:ascii="Sego" w:eastAsia="Times New Roman" w:hAnsi="Sego" w:cs="Times New Roman"/>
          <w:sz w:val="24"/>
          <w:szCs w:val="24"/>
          <w:lang w:eastAsia="fr-BE"/>
        </w:rPr>
        <w:t>https://www.abrbvi.be/</w:t>
      </w:r>
    </w:p>
    <w:sectPr w:rsidR="005E665F" w:rsidRPr="007B0B90" w:rsidSect="00F1523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008D" w14:textId="77777777" w:rsidR="00FC4C28" w:rsidRDefault="00FC4C28" w:rsidP="00CF42E6">
      <w:pPr>
        <w:spacing w:after="0" w:line="240" w:lineRule="auto"/>
      </w:pPr>
      <w:r>
        <w:separator/>
      </w:r>
    </w:p>
  </w:endnote>
  <w:endnote w:type="continuationSeparator" w:id="0">
    <w:p w14:paraId="01A25B50" w14:textId="77777777" w:rsidR="00FC4C28" w:rsidRDefault="00FC4C28" w:rsidP="00CF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">
    <w:altName w:val="Cambria"/>
    <w:panose1 w:val="00000000000000000000"/>
    <w:charset w:val="00"/>
    <w:family w:val="roman"/>
    <w:notTrueType/>
    <w:pitch w:val="default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216A" w14:textId="77777777" w:rsidR="00FC4C28" w:rsidRDefault="00FC4C28" w:rsidP="00CF42E6">
      <w:pPr>
        <w:spacing w:after="0" w:line="240" w:lineRule="auto"/>
      </w:pPr>
      <w:r>
        <w:separator/>
      </w:r>
    </w:p>
  </w:footnote>
  <w:footnote w:type="continuationSeparator" w:id="0">
    <w:p w14:paraId="7C4E0B36" w14:textId="77777777" w:rsidR="00FC4C28" w:rsidRDefault="00FC4C28" w:rsidP="00CF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171"/>
      </v:shape>
    </w:pict>
  </w:numPicBullet>
  <w:abstractNum w:abstractNumId="0" w15:restartNumberingAfterBreak="0">
    <w:nsid w:val="2824193D"/>
    <w:multiLevelType w:val="multilevel"/>
    <w:tmpl w:val="EC9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CA01AF"/>
    <w:multiLevelType w:val="multilevel"/>
    <w:tmpl w:val="77A0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87548"/>
    <w:multiLevelType w:val="multilevel"/>
    <w:tmpl w:val="2C7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4D4111"/>
    <w:multiLevelType w:val="hybridMultilevel"/>
    <w:tmpl w:val="E94458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F265D"/>
    <w:multiLevelType w:val="multilevel"/>
    <w:tmpl w:val="F824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FF71EB"/>
    <w:multiLevelType w:val="multilevel"/>
    <w:tmpl w:val="2AA4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F44340"/>
    <w:multiLevelType w:val="hybridMultilevel"/>
    <w:tmpl w:val="5224BC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5642C"/>
    <w:multiLevelType w:val="multilevel"/>
    <w:tmpl w:val="562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574983"/>
    <w:multiLevelType w:val="hybridMultilevel"/>
    <w:tmpl w:val="EF10E0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44163">
    <w:abstractNumId w:val="1"/>
  </w:num>
  <w:num w:numId="2" w16cid:durableId="1307012402">
    <w:abstractNumId w:val="5"/>
  </w:num>
  <w:num w:numId="3" w16cid:durableId="1001274086">
    <w:abstractNumId w:val="4"/>
  </w:num>
  <w:num w:numId="4" w16cid:durableId="1993023807">
    <w:abstractNumId w:val="2"/>
  </w:num>
  <w:num w:numId="5" w16cid:durableId="1706829237">
    <w:abstractNumId w:val="7"/>
  </w:num>
  <w:num w:numId="6" w16cid:durableId="1939605825">
    <w:abstractNumId w:val="0"/>
  </w:num>
  <w:num w:numId="7" w16cid:durableId="226649917">
    <w:abstractNumId w:val="8"/>
  </w:num>
  <w:num w:numId="8" w16cid:durableId="1325234501">
    <w:abstractNumId w:val="6"/>
  </w:num>
  <w:num w:numId="9" w16cid:durableId="1785223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D"/>
    <w:rsid w:val="00002084"/>
    <w:rsid w:val="00007AEF"/>
    <w:rsid w:val="00012401"/>
    <w:rsid w:val="000135FD"/>
    <w:rsid w:val="00033568"/>
    <w:rsid w:val="000403A5"/>
    <w:rsid w:val="00050630"/>
    <w:rsid w:val="00055E23"/>
    <w:rsid w:val="0006669B"/>
    <w:rsid w:val="00067E86"/>
    <w:rsid w:val="00074EF9"/>
    <w:rsid w:val="00085CFB"/>
    <w:rsid w:val="00094793"/>
    <w:rsid w:val="00097E78"/>
    <w:rsid w:val="000B1996"/>
    <w:rsid w:val="000B241E"/>
    <w:rsid w:val="000B34FD"/>
    <w:rsid w:val="000B4452"/>
    <w:rsid w:val="000D3144"/>
    <w:rsid w:val="000E3B46"/>
    <w:rsid w:val="000F382C"/>
    <w:rsid w:val="000F79C4"/>
    <w:rsid w:val="00102629"/>
    <w:rsid w:val="00116C93"/>
    <w:rsid w:val="00121797"/>
    <w:rsid w:val="00123349"/>
    <w:rsid w:val="00134874"/>
    <w:rsid w:val="0017157E"/>
    <w:rsid w:val="00174444"/>
    <w:rsid w:val="001B46F2"/>
    <w:rsid w:val="001B4C97"/>
    <w:rsid w:val="001B4F28"/>
    <w:rsid w:val="001C2EBF"/>
    <w:rsid w:val="001C37D4"/>
    <w:rsid w:val="001C414E"/>
    <w:rsid w:val="001C47AF"/>
    <w:rsid w:val="001D32CE"/>
    <w:rsid w:val="001D4385"/>
    <w:rsid w:val="001D44AD"/>
    <w:rsid w:val="001D526B"/>
    <w:rsid w:val="001D6222"/>
    <w:rsid w:val="001D7C25"/>
    <w:rsid w:val="001F1A0F"/>
    <w:rsid w:val="001F3543"/>
    <w:rsid w:val="001F3C35"/>
    <w:rsid w:val="001F6ACF"/>
    <w:rsid w:val="00200093"/>
    <w:rsid w:val="00215630"/>
    <w:rsid w:val="002220C4"/>
    <w:rsid w:val="00223CCE"/>
    <w:rsid w:val="00224096"/>
    <w:rsid w:val="00227DFD"/>
    <w:rsid w:val="002310EC"/>
    <w:rsid w:val="00234069"/>
    <w:rsid w:val="00235E8B"/>
    <w:rsid w:val="002365D1"/>
    <w:rsid w:val="002427F5"/>
    <w:rsid w:val="0024630C"/>
    <w:rsid w:val="0024729A"/>
    <w:rsid w:val="00247B75"/>
    <w:rsid w:val="00251302"/>
    <w:rsid w:val="00252958"/>
    <w:rsid w:val="00253BCC"/>
    <w:rsid w:val="0025427D"/>
    <w:rsid w:val="00270CC0"/>
    <w:rsid w:val="002730FF"/>
    <w:rsid w:val="00275FF3"/>
    <w:rsid w:val="0029039F"/>
    <w:rsid w:val="00290948"/>
    <w:rsid w:val="00291343"/>
    <w:rsid w:val="00295961"/>
    <w:rsid w:val="00296DF7"/>
    <w:rsid w:val="002A264D"/>
    <w:rsid w:val="002B2A55"/>
    <w:rsid w:val="002B5F5B"/>
    <w:rsid w:val="002B6F40"/>
    <w:rsid w:val="002C333A"/>
    <w:rsid w:val="002C7290"/>
    <w:rsid w:val="002D36E6"/>
    <w:rsid w:val="002D3F54"/>
    <w:rsid w:val="002D50FA"/>
    <w:rsid w:val="002F0439"/>
    <w:rsid w:val="002F0FA3"/>
    <w:rsid w:val="00311E32"/>
    <w:rsid w:val="00312D57"/>
    <w:rsid w:val="0032182E"/>
    <w:rsid w:val="0032286F"/>
    <w:rsid w:val="00324627"/>
    <w:rsid w:val="00325E80"/>
    <w:rsid w:val="00330E3B"/>
    <w:rsid w:val="00331A7F"/>
    <w:rsid w:val="003322E8"/>
    <w:rsid w:val="003322E9"/>
    <w:rsid w:val="0033764A"/>
    <w:rsid w:val="00341655"/>
    <w:rsid w:val="00354639"/>
    <w:rsid w:val="00360396"/>
    <w:rsid w:val="003609F0"/>
    <w:rsid w:val="00361A22"/>
    <w:rsid w:val="00364473"/>
    <w:rsid w:val="003663B6"/>
    <w:rsid w:val="00366A67"/>
    <w:rsid w:val="00366EFB"/>
    <w:rsid w:val="0037395C"/>
    <w:rsid w:val="00383525"/>
    <w:rsid w:val="00391373"/>
    <w:rsid w:val="00395E52"/>
    <w:rsid w:val="00397A85"/>
    <w:rsid w:val="003A0BB1"/>
    <w:rsid w:val="003A1ACB"/>
    <w:rsid w:val="003B2D1A"/>
    <w:rsid w:val="003B7CB2"/>
    <w:rsid w:val="003D0496"/>
    <w:rsid w:val="003D120C"/>
    <w:rsid w:val="003D2E31"/>
    <w:rsid w:val="003E0088"/>
    <w:rsid w:val="003E7A02"/>
    <w:rsid w:val="003F0E2D"/>
    <w:rsid w:val="003F2ADE"/>
    <w:rsid w:val="00401745"/>
    <w:rsid w:val="00404D1E"/>
    <w:rsid w:val="00407687"/>
    <w:rsid w:val="00427960"/>
    <w:rsid w:val="00451051"/>
    <w:rsid w:val="00454C88"/>
    <w:rsid w:val="00454CE3"/>
    <w:rsid w:val="00456929"/>
    <w:rsid w:val="00471F51"/>
    <w:rsid w:val="00473BFC"/>
    <w:rsid w:val="004746FC"/>
    <w:rsid w:val="00481ADD"/>
    <w:rsid w:val="00494301"/>
    <w:rsid w:val="00494D30"/>
    <w:rsid w:val="00497681"/>
    <w:rsid w:val="004A362E"/>
    <w:rsid w:val="004A3AE0"/>
    <w:rsid w:val="004A43D1"/>
    <w:rsid w:val="004B4047"/>
    <w:rsid w:val="004C06FD"/>
    <w:rsid w:val="004C2528"/>
    <w:rsid w:val="004D42D1"/>
    <w:rsid w:val="004E51F8"/>
    <w:rsid w:val="004F7D7A"/>
    <w:rsid w:val="005063E1"/>
    <w:rsid w:val="00515EB1"/>
    <w:rsid w:val="0052526C"/>
    <w:rsid w:val="00527B18"/>
    <w:rsid w:val="0053250E"/>
    <w:rsid w:val="00533036"/>
    <w:rsid w:val="00544562"/>
    <w:rsid w:val="005468B9"/>
    <w:rsid w:val="0055081B"/>
    <w:rsid w:val="00550EED"/>
    <w:rsid w:val="0056133F"/>
    <w:rsid w:val="005633FA"/>
    <w:rsid w:val="005647E7"/>
    <w:rsid w:val="00571BFF"/>
    <w:rsid w:val="00584359"/>
    <w:rsid w:val="00593E81"/>
    <w:rsid w:val="005967FF"/>
    <w:rsid w:val="005B0B41"/>
    <w:rsid w:val="005B4928"/>
    <w:rsid w:val="005C6D81"/>
    <w:rsid w:val="005C7FD8"/>
    <w:rsid w:val="005D1B50"/>
    <w:rsid w:val="005D2074"/>
    <w:rsid w:val="005D5AE9"/>
    <w:rsid w:val="005D5CFA"/>
    <w:rsid w:val="005E05C2"/>
    <w:rsid w:val="005E0D7D"/>
    <w:rsid w:val="005E3A48"/>
    <w:rsid w:val="005E665F"/>
    <w:rsid w:val="005E7ADC"/>
    <w:rsid w:val="005F1ABD"/>
    <w:rsid w:val="005F4727"/>
    <w:rsid w:val="005F577C"/>
    <w:rsid w:val="00610C1D"/>
    <w:rsid w:val="006142BA"/>
    <w:rsid w:val="00620386"/>
    <w:rsid w:val="00621335"/>
    <w:rsid w:val="00627EFE"/>
    <w:rsid w:val="006331A0"/>
    <w:rsid w:val="006356E4"/>
    <w:rsid w:val="0063713D"/>
    <w:rsid w:val="00645ADC"/>
    <w:rsid w:val="00652A30"/>
    <w:rsid w:val="00653376"/>
    <w:rsid w:val="006533A9"/>
    <w:rsid w:val="006548E8"/>
    <w:rsid w:val="006611EF"/>
    <w:rsid w:val="00671847"/>
    <w:rsid w:val="006723FC"/>
    <w:rsid w:val="006742DA"/>
    <w:rsid w:val="0068293C"/>
    <w:rsid w:val="00692742"/>
    <w:rsid w:val="00694134"/>
    <w:rsid w:val="006A0B37"/>
    <w:rsid w:val="006A3776"/>
    <w:rsid w:val="006A4255"/>
    <w:rsid w:val="006C088A"/>
    <w:rsid w:val="006D7631"/>
    <w:rsid w:val="006F18EB"/>
    <w:rsid w:val="006F5D54"/>
    <w:rsid w:val="00712A36"/>
    <w:rsid w:val="00722A5D"/>
    <w:rsid w:val="00737B0D"/>
    <w:rsid w:val="0074332A"/>
    <w:rsid w:val="007470BC"/>
    <w:rsid w:val="0075275C"/>
    <w:rsid w:val="00756CC1"/>
    <w:rsid w:val="00757857"/>
    <w:rsid w:val="00767DDB"/>
    <w:rsid w:val="0077698C"/>
    <w:rsid w:val="00795FC7"/>
    <w:rsid w:val="007A2B87"/>
    <w:rsid w:val="007B0B90"/>
    <w:rsid w:val="007B1D74"/>
    <w:rsid w:val="007B3CAA"/>
    <w:rsid w:val="007B7A5B"/>
    <w:rsid w:val="007C3D57"/>
    <w:rsid w:val="007C5BD7"/>
    <w:rsid w:val="007D03CC"/>
    <w:rsid w:val="007D67F2"/>
    <w:rsid w:val="007E2573"/>
    <w:rsid w:val="007E30EA"/>
    <w:rsid w:val="007F254D"/>
    <w:rsid w:val="007F4795"/>
    <w:rsid w:val="00834D4D"/>
    <w:rsid w:val="008415C7"/>
    <w:rsid w:val="00854273"/>
    <w:rsid w:val="00861A56"/>
    <w:rsid w:val="008658FA"/>
    <w:rsid w:val="00871DEC"/>
    <w:rsid w:val="008734A0"/>
    <w:rsid w:val="008A5DC5"/>
    <w:rsid w:val="008B3B25"/>
    <w:rsid w:val="008B583F"/>
    <w:rsid w:val="008C4BF9"/>
    <w:rsid w:val="008E3F18"/>
    <w:rsid w:val="008F0804"/>
    <w:rsid w:val="008F2485"/>
    <w:rsid w:val="008F517F"/>
    <w:rsid w:val="008F5552"/>
    <w:rsid w:val="00900FE4"/>
    <w:rsid w:val="00911512"/>
    <w:rsid w:val="00913379"/>
    <w:rsid w:val="00921120"/>
    <w:rsid w:val="00923B5A"/>
    <w:rsid w:val="00934862"/>
    <w:rsid w:val="00941C0A"/>
    <w:rsid w:val="009439E3"/>
    <w:rsid w:val="009548B1"/>
    <w:rsid w:val="00961FA7"/>
    <w:rsid w:val="0096456D"/>
    <w:rsid w:val="00973FA4"/>
    <w:rsid w:val="0098171A"/>
    <w:rsid w:val="009A1F23"/>
    <w:rsid w:val="009A22C4"/>
    <w:rsid w:val="009A5B15"/>
    <w:rsid w:val="009B0481"/>
    <w:rsid w:val="009B1873"/>
    <w:rsid w:val="009B2C74"/>
    <w:rsid w:val="009B63EF"/>
    <w:rsid w:val="009C20B0"/>
    <w:rsid w:val="009C6C1A"/>
    <w:rsid w:val="009D09D4"/>
    <w:rsid w:val="009D4306"/>
    <w:rsid w:val="009E2D27"/>
    <w:rsid w:val="009E48F2"/>
    <w:rsid w:val="009F439D"/>
    <w:rsid w:val="009F56EF"/>
    <w:rsid w:val="009F6A04"/>
    <w:rsid w:val="00A0173C"/>
    <w:rsid w:val="00A07DBC"/>
    <w:rsid w:val="00A20D8F"/>
    <w:rsid w:val="00A23E25"/>
    <w:rsid w:val="00A25B8B"/>
    <w:rsid w:val="00A2720D"/>
    <w:rsid w:val="00A27CCC"/>
    <w:rsid w:val="00A3142D"/>
    <w:rsid w:val="00A41E6D"/>
    <w:rsid w:val="00A429B6"/>
    <w:rsid w:val="00A45546"/>
    <w:rsid w:val="00A675D6"/>
    <w:rsid w:val="00A811AF"/>
    <w:rsid w:val="00A849F5"/>
    <w:rsid w:val="00A91B6B"/>
    <w:rsid w:val="00A95C0B"/>
    <w:rsid w:val="00AA6B0A"/>
    <w:rsid w:val="00AC154D"/>
    <w:rsid w:val="00B067E8"/>
    <w:rsid w:val="00B35F5A"/>
    <w:rsid w:val="00B53836"/>
    <w:rsid w:val="00B63BE2"/>
    <w:rsid w:val="00B65418"/>
    <w:rsid w:val="00B74BA2"/>
    <w:rsid w:val="00B76C51"/>
    <w:rsid w:val="00B909A8"/>
    <w:rsid w:val="00B9702F"/>
    <w:rsid w:val="00BB2D39"/>
    <w:rsid w:val="00BD3DFC"/>
    <w:rsid w:val="00BE2416"/>
    <w:rsid w:val="00BE3948"/>
    <w:rsid w:val="00BE4724"/>
    <w:rsid w:val="00BF1975"/>
    <w:rsid w:val="00BF7C5E"/>
    <w:rsid w:val="00C03E61"/>
    <w:rsid w:val="00C06894"/>
    <w:rsid w:val="00C06B77"/>
    <w:rsid w:val="00C1485D"/>
    <w:rsid w:val="00C26992"/>
    <w:rsid w:val="00C350D7"/>
    <w:rsid w:val="00C445EC"/>
    <w:rsid w:val="00C45B59"/>
    <w:rsid w:val="00C468CA"/>
    <w:rsid w:val="00C4734C"/>
    <w:rsid w:val="00C5440A"/>
    <w:rsid w:val="00C62D70"/>
    <w:rsid w:val="00C7471E"/>
    <w:rsid w:val="00C74A69"/>
    <w:rsid w:val="00C900D2"/>
    <w:rsid w:val="00C92BC4"/>
    <w:rsid w:val="00C976D3"/>
    <w:rsid w:val="00CA3150"/>
    <w:rsid w:val="00CB0B23"/>
    <w:rsid w:val="00CB52CA"/>
    <w:rsid w:val="00CB6E6E"/>
    <w:rsid w:val="00CB7D63"/>
    <w:rsid w:val="00CC030F"/>
    <w:rsid w:val="00CC5148"/>
    <w:rsid w:val="00CC7A50"/>
    <w:rsid w:val="00CE5380"/>
    <w:rsid w:val="00CF14F0"/>
    <w:rsid w:val="00CF1602"/>
    <w:rsid w:val="00CF42E6"/>
    <w:rsid w:val="00D002C5"/>
    <w:rsid w:val="00D01F3D"/>
    <w:rsid w:val="00D100BD"/>
    <w:rsid w:val="00D13C19"/>
    <w:rsid w:val="00D159EC"/>
    <w:rsid w:val="00D22D12"/>
    <w:rsid w:val="00D25C28"/>
    <w:rsid w:val="00D41655"/>
    <w:rsid w:val="00D53D20"/>
    <w:rsid w:val="00D60AC7"/>
    <w:rsid w:val="00D62880"/>
    <w:rsid w:val="00D64435"/>
    <w:rsid w:val="00D65681"/>
    <w:rsid w:val="00D7080A"/>
    <w:rsid w:val="00D81078"/>
    <w:rsid w:val="00D837F1"/>
    <w:rsid w:val="00DA09F5"/>
    <w:rsid w:val="00DA4595"/>
    <w:rsid w:val="00DA4CC0"/>
    <w:rsid w:val="00DA5AB5"/>
    <w:rsid w:val="00DB39AD"/>
    <w:rsid w:val="00DB3D0F"/>
    <w:rsid w:val="00DB6773"/>
    <w:rsid w:val="00DB7DC7"/>
    <w:rsid w:val="00DC1419"/>
    <w:rsid w:val="00DC1ECA"/>
    <w:rsid w:val="00DC222E"/>
    <w:rsid w:val="00DC55B4"/>
    <w:rsid w:val="00DD2D3D"/>
    <w:rsid w:val="00DD4D1E"/>
    <w:rsid w:val="00DD693D"/>
    <w:rsid w:val="00DD7B0B"/>
    <w:rsid w:val="00DE7846"/>
    <w:rsid w:val="00DF34C4"/>
    <w:rsid w:val="00DF4705"/>
    <w:rsid w:val="00DF5A60"/>
    <w:rsid w:val="00DF5ACE"/>
    <w:rsid w:val="00E11ED9"/>
    <w:rsid w:val="00E20F2E"/>
    <w:rsid w:val="00E22092"/>
    <w:rsid w:val="00E41370"/>
    <w:rsid w:val="00E45D19"/>
    <w:rsid w:val="00E6595B"/>
    <w:rsid w:val="00E82596"/>
    <w:rsid w:val="00E83D45"/>
    <w:rsid w:val="00E87436"/>
    <w:rsid w:val="00E91054"/>
    <w:rsid w:val="00E946C6"/>
    <w:rsid w:val="00EA2E5C"/>
    <w:rsid w:val="00EC399F"/>
    <w:rsid w:val="00EC6998"/>
    <w:rsid w:val="00ED0987"/>
    <w:rsid w:val="00ED6258"/>
    <w:rsid w:val="00EF0B76"/>
    <w:rsid w:val="00EF2E25"/>
    <w:rsid w:val="00EF3552"/>
    <w:rsid w:val="00EF5546"/>
    <w:rsid w:val="00F033C6"/>
    <w:rsid w:val="00F06007"/>
    <w:rsid w:val="00F15230"/>
    <w:rsid w:val="00F24B3A"/>
    <w:rsid w:val="00F33A17"/>
    <w:rsid w:val="00F44DDD"/>
    <w:rsid w:val="00F4789B"/>
    <w:rsid w:val="00F6708F"/>
    <w:rsid w:val="00F750C8"/>
    <w:rsid w:val="00F84F2C"/>
    <w:rsid w:val="00F93DE5"/>
    <w:rsid w:val="00F95D1D"/>
    <w:rsid w:val="00FB3B11"/>
    <w:rsid w:val="00FC2571"/>
    <w:rsid w:val="00FC4C28"/>
    <w:rsid w:val="00FC5785"/>
    <w:rsid w:val="00FD0118"/>
    <w:rsid w:val="00FD202A"/>
    <w:rsid w:val="00FD2083"/>
    <w:rsid w:val="00FE3704"/>
    <w:rsid w:val="00FE5E3F"/>
    <w:rsid w:val="00FE7822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4439671"/>
  <w15:chartTrackingRefBased/>
  <w15:docId w15:val="{4EF9FAAA-9806-4EE7-BAF4-FEE953FA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F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9F4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4">
    <w:name w:val="heading 4"/>
    <w:basedOn w:val="Normal"/>
    <w:link w:val="Titre4Car"/>
    <w:uiPriority w:val="9"/>
    <w:qFormat/>
    <w:rsid w:val="009F43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39D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9F439D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9F439D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9F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9F439D"/>
    <w:rPr>
      <w:b/>
      <w:bCs/>
    </w:rPr>
  </w:style>
  <w:style w:type="character" w:styleId="Accentuation">
    <w:name w:val="Emphasis"/>
    <w:basedOn w:val="Policepardfaut"/>
    <w:uiPriority w:val="20"/>
    <w:qFormat/>
    <w:rsid w:val="009F439D"/>
    <w:rPr>
      <w:i/>
      <w:iCs/>
    </w:rPr>
  </w:style>
  <w:style w:type="paragraph" w:styleId="Paragraphedeliste">
    <w:name w:val="List Paragraph"/>
    <w:basedOn w:val="Normal"/>
    <w:uiPriority w:val="34"/>
    <w:qFormat/>
    <w:rsid w:val="009B04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427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7DF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011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42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42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4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346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BABABA"/>
            <w:bottom w:val="none" w:sz="0" w:space="0" w:color="auto"/>
            <w:right w:val="none" w:sz="0" w:space="0" w:color="auto"/>
          </w:divBdr>
        </w:div>
        <w:div w:id="1122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6E85-4937-4BA1-A537-FE4A2D0C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2970</Characters>
  <Application>Microsoft Office Word</Application>
  <DocSecurity>4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Laure-Eve Monfort</dc:creator>
  <cp:keywords/>
  <dc:description/>
  <cp:lastModifiedBy>Martine T'Jampens</cp:lastModifiedBy>
  <cp:revision>2</cp:revision>
  <dcterms:created xsi:type="dcterms:W3CDTF">2022-05-30T09:34:00Z</dcterms:created>
  <dcterms:modified xsi:type="dcterms:W3CDTF">2022-05-30T09:34:00Z</dcterms:modified>
</cp:coreProperties>
</file>